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97B0A" w14:textId="601BC415" w:rsidR="00A7021E" w:rsidRDefault="00A7021E" w:rsidP="00A7021E">
      <w:pPr>
        <w:spacing w:after="0"/>
        <w:jc w:val="center"/>
        <w:rPr>
          <w:rFonts w:ascii="Verdana" w:hAnsi="Verdana"/>
          <w:lang w:val="pt-PT"/>
        </w:rPr>
      </w:pPr>
      <w:r w:rsidRPr="002C3394">
        <w:rPr>
          <w:rFonts w:ascii="Verdana" w:hAnsi="Verdana"/>
          <w:b/>
          <w:bCs/>
          <w:sz w:val="28"/>
          <w:szCs w:val="28"/>
          <w:lang w:val="pt-PT"/>
        </w:rPr>
        <w:t>Pesto più di Pra a</w:t>
      </w:r>
      <w:r w:rsidR="00E775D7">
        <w:rPr>
          <w:rFonts w:ascii="Verdana" w:hAnsi="Verdana"/>
          <w:b/>
          <w:bCs/>
          <w:sz w:val="28"/>
          <w:szCs w:val="28"/>
          <w:lang w:val="pt-PT"/>
        </w:rPr>
        <w:t xml:space="preserve"> I</w:t>
      </w:r>
      <w:r w:rsidRPr="002C3394">
        <w:rPr>
          <w:rFonts w:ascii="Verdana" w:hAnsi="Verdana"/>
          <w:b/>
          <w:bCs/>
          <w:sz w:val="28"/>
          <w:szCs w:val="28"/>
          <w:lang w:val="pt-PT"/>
        </w:rPr>
        <w:t>l Desco 2019</w:t>
      </w:r>
      <w:r w:rsidRPr="002C3394">
        <w:rPr>
          <w:rFonts w:ascii="Verdana" w:hAnsi="Verdana"/>
          <w:lang w:val="pt-PT"/>
        </w:rPr>
        <w:br/>
        <w:t xml:space="preserve">Pesto e salsa di noci,  i prodotti liguri presenti </w:t>
      </w:r>
      <w:r w:rsidR="00E775D7">
        <w:rPr>
          <w:rFonts w:ascii="Verdana" w:hAnsi="Verdana"/>
          <w:lang w:val="pt-PT"/>
        </w:rPr>
        <w:t>a Lucca</w:t>
      </w:r>
    </w:p>
    <w:p w14:paraId="2FA96ED5" w14:textId="77777777" w:rsidR="00A7021E" w:rsidRDefault="00A7021E" w:rsidP="00A7021E">
      <w:pPr>
        <w:spacing w:after="0"/>
        <w:jc w:val="center"/>
        <w:rPr>
          <w:rFonts w:ascii="Verdana" w:hAnsi="Verdana"/>
          <w:b/>
          <w:bCs/>
          <w:lang w:val="pt-PT"/>
        </w:rPr>
      </w:pPr>
    </w:p>
    <w:p w14:paraId="09C798D4" w14:textId="65A001F5" w:rsidR="00A7021E" w:rsidRDefault="00A7021E" w:rsidP="00554FA9">
      <w:pPr>
        <w:spacing w:after="0"/>
        <w:jc w:val="both"/>
        <w:rPr>
          <w:rFonts w:ascii="Verdana" w:hAnsi="Verdana"/>
          <w:lang w:val="pt-PT"/>
        </w:rPr>
      </w:pPr>
      <w:r w:rsidRPr="002C3394">
        <w:rPr>
          <w:rFonts w:ascii="Verdana" w:hAnsi="Verdana"/>
          <w:i/>
          <w:iCs/>
          <w:lang w:val="pt-PT"/>
        </w:rPr>
        <w:t xml:space="preserve">Lucca, </w:t>
      </w:r>
      <w:r>
        <w:rPr>
          <w:rFonts w:ascii="Verdana" w:hAnsi="Verdana"/>
          <w:i/>
          <w:iCs/>
          <w:lang w:val="pt-PT"/>
        </w:rPr>
        <w:t>2</w:t>
      </w:r>
      <w:r w:rsidR="00554FA9">
        <w:rPr>
          <w:rFonts w:ascii="Verdana" w:hAnsi="Verdana"/>
          <w:i/>
          <w:iCs/>
          <w:lang w:val="pt-PT"/>
        </w:rPr>
        <w:t>2</w:t>
      </w:r>
      <w:r w:rsidRPr="002C3394">
        <w:rPr>
          <w:rFonts w:ascii="Verdana" w:hAnsi="Verdana"/>
          <w:i/>
          <w:iCs/>
          <w:lang w:val="pt-PT"/>
        </w:rPr>
        <w:t xml:space="preserve"> ottobre 2019 – </w:t>
      </w:r>
      <w:r w:rsidRPr="002C3394">
        <w:rPr>
          <w:rFonts w:ascii="Verdana" w:hAnsi="Verdana"/>
          <w:lang w:val="pt-PT"/>
        </w:rPr>
        <w:t>La Liguria ha deciso di promuoversi a</w:t>
      </w:r>
      <w:r w:rsidR="00E775D7">
        <w:rPr>
          <w:rFonts w:ascii="Verdana" w:hAnsi="Verdana"/>
          <w:lang w:val="pt-PT"/>
        </w:rPr>
        <w:t xml:space="preserve"> I</w:t>
      </w:r>
      <w:r w:rsidRPr="002C3394">
        <w:rPr>
          <w:rFonts w:ascii="Verdana" w:hAnsi="Verdana"/>
          <w:lang w:val="pt-PT"/>
        </w:rPr>
        <w:t>l Desco</w:t>
      </w:r>
      <w:r w:rsidR="00E775D7">
        <w:rPr>
          <w:rFonts w:ascii="Verdana" w:hAnsi="Verdana"/>
          <w:lang w:val="pt-PT"/>
        </w:rPr>
        <w:t xml:space="preserve"> dove</w:t>
      </w:r>
      <w:r w:rsidRPr="002C3394">
        <w:rPr>
          <w:rFonts w:ascii="Verdana" w:hAnsi="Verdana"/>
          <w:lang w:val="pt-PT"/>
        </w:rPr>
        <w:t xml:space="preserve"> non mancheranno le prelibatezze e i sapori unici </w:t>
      </w:r>
      <w:r w:rsidR="00E775D7">
        <w:rPr>
          <w:rFonts w:ascii="Verdana" w:hAnsi="Verdana"/>
          <w:lang w:val="pt-PT"/>
        </w:rPr>
        <w:t>i questa regione</w:t>
      </w:r>
      <w:r w:rsidRPr="002C3394">
        <w:rPr>
          <w:rFonts w:ascii="Verdana" w:hAnsi="Verdana"/>
          <w:lang w:val="pt-PT"/>
        </w:rPr>
        <w:t xml:space="preserve"> costiera, affacciata sul Mar Ligure</w:t>
      </w:r>
      <w:r w:rsidR="00E775D7">
        <w:rPr>
          <w:rFonts w:ascii="Verdana" w:hAnsi="Verdana"/>
          <w:lang w:val="pt-PT"/>
        </w:rPr>
        <w:t xml:space="preserve">: a rrappresentarla </w:t>
      </w:r>
      <w:r w:rsidRPr="002C3394">
        <w:rPr>
          <w:rFonts w:ascii="Verdana" w:hAnsi="Verdana"/>
          <w:lang w:val="pt-PT"/>
        </w:rPr>
        <w:t xml:space="preserve">la ditta artigianale </w:t>
      </w:r>
      <w:r w:rsidRPr="00E775D7">
        <w:rPr>
          <w:rFonts w:ascii="Verdana" w:hAnsi="Verdana"/>
          <w:b/>
          <w:bCs/>
          <w:lang w:val="pt-PT"/>
        </w:rPr>
        <w:t>Pesto più di Pra</w:t>
      </w:r>
      <w:r w:rsidRPr="002C3394">
        <w:rPr>
          <w:rFonts w:ascii="Verdana" w:hAnsi="Verdana"/>
          <w:i/>
          <w:iCs/>
          <w:lang w:val="pt-PT"/>
        </w:rPr>
        <w:t xml:space="preserve"> </w:t>
      </w:r>
      <w:r w:rsidRPr="002C3394">
        <w:rPr>
          <w:rFonts w:ascii="Verdana" w:hAnsi="Verdana"/>
          <w:lang w:val="pt-PT"/>
        </w:rPr>
        <w:t xml:space="preserve">di Prà, in provincia di Genova, produttrice del tipico pesto genovese e della salsa di noci. </w:t>
      </w:r>
    </w:p>
    <w:p w14:paraId="70615673" w14:textId="477C61FA" w:rsidR="00A7021E" w:rsidRPr="002C3394" w:rsidRDefault="00A7021E" w:rsidP="00554FA9">
      <w:pPr>
        <w:spacing w:after="0"/>
        <w:jc w:val="both"/>
        <w:rPr>
          <w:rFonts w:ascii="Verdana" w:hAnsi="Verdana"/>
          <w:b/>
          <w:bCs/>
          <w:lang w:val="pt-PT"/>
        </w:rPr>
      </w:pPr>
      <w:r w:rsidRPr="002C3394">
        <w:rPr>
          <w:rFonts w:ascii="Verdana" w:hAnsi="Verdana"/>
          <w:lang w:val="pt-PT"/>
        </w:rPr>
        <w:t>L’attività artigianale nasce nel 1966 grazie ad un’idea di Franco Fassone e Luciana Rebuffo che, amanti della cucina tipica genovese decidono di mettere in piedi un piccolo laboratorio artigianale dedicato alla produzione del pesto. Il nome di questa salsa, famosa in tutto il mondo, deriva dalla lavorazione della pestatura delle foglie del basilico e degli altri ingredienti nel tradizionale murtà (mortaio).</w:t>
      </w:r>
    </w:p>
    <w:p w14:paraId="2D35B90C" w14:textId="7421C949" w:rsidR="00554FA9" w:rsidRPr="00AD3043" w:rsidRDefault="00554FA9" w:rsidP="00554FA9">
      <w:pPr>
        <w:spacing w:after="0" w:line="240" w:lineRule="auto"/>
        <w:jc w:val="both"/>
        <w:rPr>
          <w:rFonts w:ascii="Verdana" w:hAnsi="Verdana"/>
          <w:lang w:val="pt-PT"/>
        </w:rPr>
      </w:pPr>
      <w:bookmarkStart w:id="0" w:name="_Hlk22135675"/>
      <w:bookmarkStart w:id="1" w:name="_Hlk22567727"/>
      <w:r w:rsidRPr="00AD3043">
        <w:rPr>
          <w:rFonts w:ascii="Verdana" w:hAnsi="Verdana"/>
          <w:lang w:val="pt-PT"/>
        </w:rPr>
        <w:t>La 15^</w:t>
      </w:r>
      <w:r>
        <w:rPr>
          <w:rFonts w:ascii="Verdana" w:hAnsi="Verdana"/>
          <w:lang w:val="pt-PT"/>
        </w:rPr>
        <w:t xml:space="preserve"> </w:t>
      </w:r>
      <w:r w:rsidRPr="00AD3043">
        <w:rPr>
          <w:rFonts w:ascii="Verdana" w:hAnsi="Verdana"/>
          <w:lang w:val="pt-PT"/>
        </w:rPr>
        <w:t xml:space="preserve">edizione de il Desco 2019 </w:t>
      </w:r>
      <w:r w:rsidRPr="00562F3C">
        <w:rPr>
          <w:rFonts w:ascii="Verdana" w:hAnsi="Verdana"/>
          <w:b/>
          <w:bCs/>
          <w:lang w:val="pt-PT"/>
        </w:rPr>
        <w:t xml:space="preserve">torna a Lucca nei giorni 29, 30 </w:t>
      </w:r>
      <w:r w:rsidR="00C4560E">
        <w:rPr>
          <w:rFonts w:ascii="Verdana" w:hAnsi="Verdana"/>
          <w:b/>
          <w:bCs/>
          <w:lang w:val="pt-PT"/>
        </w:rPr>
        <w:t>novembre</w:t>
      </w:r>
      <w:bookmarkStart w:id="2" w:name="_GoBack"/>
      <w:bookmarkEnd w:id="2"/>
      <w:r w:rsidRPr="00562F3C">
        <w:rPr>
          <w:rFonts w:ascii="Verdana" w:hAnsi="Verdana"/>
          <w:b/>
          <w:bCs/>
          <w:lang w:val="pt-PT"/>
        </w:rPr>
        <w:t>, 1 dicembre / 6, 7, 8 dicembre</w:t>
      </w:r>
      <w:r w:rsidRPr="00AD3043">
        <w:rPr>
          <w:rFonts w:ascii="Verdana" w:hAnsi="Verdana"/>
          <w:lang w:val="pt-PT"/>
        </w:rPr>
        <w:t>, un viaggio alla scoperta delle tipicità uniche a autentiche della gastronomia italiana.</w:t>
      </w:r>
    </w:p>
    <w:bookmarkEnd w:id="0"/>
    <w:p w14:paraId="0108C1E0" w14:textId="77777777" w:rsidR="00554FA9" w:rsidRPr="00562F3C" w:rsidRDefault="00554FA9" w:rsidP="00554FA9">
      <w:pPr>
        <w:spacing w:after="0" w:line="240" w:lineRule="auto"/>
        <w:jc w:val="both"/>
        <w:rPr>
          <w:rFonts w:ascii="Verdana" w:hAnsi="Verdana"/>
        </w:rPr>
      </w:pPr>
      <w:r w:rsidRPr="00562F3C">
        <w:rPr>
          <w:rFonts w:ascii="Verdana" w:hAnsi="Verdana"/>
        </w:rPr>
        <w:t xml:space="preserve">Gli espositori presenti al Desco provengono da tutto il territorio nazionale: accanto ai 42 toscani, vi sono anche produttori, dalla Liguria, dalla Lombardia dall’Emilia Romagna, dal Molise, dalla Sicilia e dalla Sardegna. </w:t>
      </w:r>
    </w:p>
    <w:p w14:paraId="480270E9" w14:textId="77777777" w:rsidR="00554FA9" w:rsidRPr="00562F3C" w:rsidRDefault="00554FA9" w:rsidP="00554FA9">
      <w:pPr>
        <w:spacing w:after="0" w:line="240" w:lineRule="auto"/>
        <w:jc w:val="both"/>
        <w:rPr>
          <w:rFonts w:ascii="Verdana" w:hAnsi="Verdana"/>
        </w:rPr>
      </w:pPr>
      <w:r w:rsidRPr="00562F3C">
        <w:rPr>
          <w:rFonts w:ascii="Verdana" w:hAnsi="Verdana"/>
        </w:rPr>
        <w:t xml:space="preserve">Il Desco non è solo una mostra mercato, ma una vetrina che permette di conoscere e approfondire le unicità e le tipicità dei prodotti del nostro eterogeneo territorio, attraverso degustazioni guidate show cooking, eventi, talk, laboratori per bambini, mostre e contest. </w:t>
      </w:r>
    </w:p>
    <w:p w14:paraId="20B27FE0" w14:textId="77777777" w:rsidR="00554FA9" w:rsidRPr="00562F3C" w:rsidRDefault="00554FA9" w:rsidP="00554FA9">
      <w:pPr>
        <w:spacing w:after="0" w:line="240" w:lineRule="auto"/>
        <w:jc w:val="both"/>
        <w:rPr>
          <w:rFonts w:ascii="Verdana" w:hAnsi="Verdana"/>
        </w:rPr>
      </w:pPr>
      <w:r>
        <w:rPr>
          <w:rFonts w:ascii="Verdana" w:hAnsi="Verdana"/>
        </w:rPr>
        <w:t>D</w:t>
      </w:r>
      <w:r w:rsidRPr="00562F3C">
        <w:rPr>
          <w:rFonts w:ascii="Verdana" w:hAnsi="Verdana"/>
        </w:rPr>
        <w:t xml:space="preserve">opo il successo della scorsa edizione, torna a grande richiesta la </w:t>
      </w:r>
      <w:r w:rsidRPr="00F138FE">
        <w:rPr>
          <w:rFonts w:ascii="Verdana" w:hAnsi="Verdana"/>
          <w:b/>
          <w:bCs/>
        </w:rPr>
        <w:t>Gara dei Giovani Chef</w:t>
      </w:r>
      <w:r w:rsidRPr="00562F3C">
        <w:rPr>
          <w:rFonts w:ascii="Verdana" w:hAnsi="Verdana"/>
        </w:rPr>
        <w:t xml:space="preserve">, organizzata dalla Darwine e Food di Claudia Marinelli, durante la quale 4 giovani chef toscani avranno 25 minuti di tempo per preparare un piatto, utilizzando come ingredienti quattro dei prodotti presenti al Desco. </w:t>
      </w:r>
    </w:p>
    <w:p w14:paraId="7AE08286" w14:textId="20B58FBF" w:rsidR="00554FA9" w:rsidRPr="00562F3C" w:rsidRDefault="00554FA9" w:rsidP="00554FA9">
      <w:pPr>
        <w:spacing w:after="0" w:line="240" w:lineRule="auto"/>
        <w:jc w:val="both"/>
        <w:rPr>
          <w:rFonts w:ascii="Verdana" w:hAnsi="Verdana"/>
        </w:rPr>
      </w:pPr>
      <w:r w:rsidRPr="00562F3C">
        <w:rPr>
          <w:rFonts w:ascii="Verdana" w:hAnsi="Verdana"/>
        </w:rPr>
        <w:t xml:space="preserve">Il Desco si riconferma evento </w:t>
      </w:r>
      <w:r w:rsidRPr="00F138FE">
        <w:rPr>
          <w:rFonts w:ascii="Verdana" w:hAnsi="Verdana"/>
          <w:b/>
          <w:bCs/>
        </w:rPr>
        <w:t>plastic free</w:t>
      </w:r>
      <w:r w:rsidRPr="00562F3C">
        <w:rPr>
          <w:rFonts w:ascii="Verdana" w:hAnsi="Verdana"/>
        </w:rPr>
        <w:t xml:space="preserve">: il rispetto dell’ambiente è un tema che la manifestazione porta avanti da diversi anni. </w:t>
      </w:r>
      <w:r>
        <w:rPr>
          <w:rFonts w:ascii="Verdana" w:hAnsi="Verdana"/>
        </w:rPr>
        <w:t>C</w:t>
      </w:r>
      <w:r w:rsidRPr="00562F3C">
        <w:rPr>
          <w:rFonts w:ascii="Verdana" w:hAnsi="Verdana"/>
        </w:rPr>
        <w:t>ontinua la sensibilizzazione verso il riciclo e il riuso, utilizzando sempre più piatti e bicch</w:t>
      </w:r>
      <w:r w:rsidR="006C3965">
        <w:rPr>
          <w:rFonts w:ascii="Verdana" w:hAnsi="Verdana"/>
        </w:rPr>
        <w:t>i</w:t>
      </w:r>
      <w:r w:rsidRPr="00562F3C">
        <w:rPr>
          <w:rFonts w:ascii="Verdana" w:hAnsi="Verdana"/>
        </w:rPr>
        <w:t xml:space="preserve">eri biodegradabili. </w:t>
      </w:r>
    </w:p>
    <w:p w14:paraId="11FC39D5" w14:textId="77777777" w:rsidR="00554FA9" w:rsidRPr="00562F3C" w:rsidRDefault="00554FA9" w:rsidP="00554FA9">
      <w:pPr>
        <w:spacing w:after="0" w:line="240" w:lineRule="auto"/>
        <w:jc w:val="both"/>
        <w:rPr>
          <w:rFonts w:ascii="Verdana" w:hAnsi="Verdana"/>
        </w:rPr>
      </w:pPr>
      <w:r w:rsidRPr="00562F3C">
        <w:rPr>
          <w:rFonts w:ascii="Verdana" w:hAnsi="Verdana"/>
        </w:rPr>
        <w:t>Il Desco è anche Esco dal Desco, con un ricco calendario di eventi, mostre, workshop, convegni e tante altre opportunità che il territorio di The Lands of Giacomo Puccini offre nel mese di novembre e dicembre a tutti coloro che decidano di passare un weekend a Lucca.</w:t>
      </w:r>
    </w:p>
    <w:p w14:paraId="14434A44" w14:textId="77777777" w:rsidR="00554FA9" w:rsidRDefault="00554FA9" w:rsidP="00554FA9">
      <w:pPr>
        <w:spacing w:after="0" w:line="240" w:lineRule="auto"/>
        <w:jc w:val="both"/>
        <w:rPr>
          <w:rFonts w:ascii="Verdana" w:hAnsi="Verdana"/>
        </w:rPr>
      </w:pPr>
      <w:r w:rsidRPr="00562F3C">
        <w:rPr>
          <w:rFonts w:ascii="Verdana" w:hAnsi="Verdana"/>
        </w:rPr>
        <w:t>La manifestazione, organizzata dalla Camera di Commercio di Lucca, con il patrocinio del Ministero delle politiche agricole, alimentari, forestali e del turismo, del Ministero dei Beni culturali, della Regione Toscana è sostenuta dal Comune di Lucca e dalla Fondazione Cassa di Risparmio di Lucca. Sponsor della manifestazione ad oggi sono: Mediaus, Naturanda, Paperlynen caps, Ecocanny, Puccini e la sua Lucca, Noi Tv, Sofidel, Lucca Kids, Cook inc, Goditalia e Five Stars.</w:t>
      </w:r>
    </w:p>
    <w:bookmarkEnd w:id="1"/>
    <w:p w14:paraId="7484DAC8" w14:textId="77777777" w:rsidR="00554FA9" w:rsidRDefault="00554FA9" w:rsidP="00554FA9">
      <w:pPr>
        <w:spacing w:after="0" w:line="240" w:lineRule="auto"/>
        <w:jc w:val="both"/>
        <w:rPr>
          <w:rFonts w:ascii="Verdana" w:eastAsia="Verdana" w:hAnsi="Verdana" w:cs="Verdana"/>
          <w:color w:val="000000"/>
          <w:sz w:val="24"/>
          <w:szCs w:val="24"/>
        </w:rPr>
      </w:pPr>
    </w:p>
    <w:p w14:paraId="27CA20D2" w14:textId="77777777" w:rsidR="00554FA9" w:rsidRDefault="00554FA9" w:rsidP="00554FA9">
      <w:pPr>
        <w:spacing w:after="0" w:line="240" w:lineRule="auto"/>
        <w:jc w:val="both"/>
        <w:rPr>
          <w:rFonts w:ascii="Verdana" w:eastAsia="Verdana" w:hAnsi="Verdana" w:cs="Verdana"/>
          <w:color w:val="000000"/>
          <w:sz w:val="24"/>
          <w:szCs w:val="24"/>
        </w:rPr>
      </w:pPr>
      <w:r>
        <w:rPr>
          <w:rFonts w:ascii="Verdana" w:eastAsia="Times New Roman" w:hAnsi="Verdana" w:cs="Times New Roman"/>
          <w:lang w:eastAsia="it-IT"/>
        </w:rPr>
        <w:t>Altre notizie e tutti i comunicati stampa della manifestazione disponibili on line: https://www.ildesco.eu/rassegna-stampa/</w:t>
      </w:r>
    </w:p>
    <w:p w14:paraId="1059DD00" w14:textId="77777777" w:rsidR="00554FA9" w:rsidRDefault="00554FA9" w:rsidP="00554FA9">
      <w:pPr>
        <w:spacing w:after="0"/>
        <w:rPr>
          <w:rFonts w:ascii="Verdana" w:hAnsi="Verdana"/>
        </w:rPr>
      </w:pPr>
    </w:p>
    <w:tbl>
      <w:tblPr>
        <w:tblW w:w="9581" w:type="dxa"/>
        <w:tblLayout w:type="fixed"/>
        <w:tblLook w:val="0000" w:firstRow="0" w:lastRow="0" w:firstColumn="0" w:lastColumn="0" w:noHBand="0" w:noVBand="0"/>
      </w:tblPr>
      <w:tblGrid>
        <w:gridCol w:w="6015"/>
        <w:gridCol w:w="3566"/>
      </w:tblGrid>
      <w:tr w:rsidR="00554FA9" w14:paraId="4139A5F0" w14:textId="77777777" w:rsidTr="0002633F">
        <w:trPr>
          <w:trHeight w:val="680"/>
        </w:trPr>
        <w:tc>
          <w:tcPr>
            <w:tcW w:w="6015" w:type="dxa"/>
          </w:tcPr>
          <w:p w14:paraId="62801221" w14:textId="77777777" w:rsidR="00554FA9" w:rsidRDefault="00554FA9" w:rsidP="0002633F">
            <w:pPr>
              <w:pBdr>
                <w:top w:val="nil"/>
                <w:left w:val="nil"/>
                <w:bottom w:val="nil"/>
                <w:right w:val="nil"/>
                <w:between w:val="nil"/>
              </w:pBdr>
              <w:rPr>
                <w:rFonts w:ascii="Verdana" w:eastAsia="Verdana" w:hAnsi="Verdana" w:cs="Verdana"/>
                <w:color w:val="000000"/>
                <w:sz w:val="24"/>
                <w:szCs w:val="24"/>
              </w:rPr>
            </w:pPr>
            <w:bookmarkStart w:id="3" w:name="_Hlk22566409"/>
            <w:r>
              <w:rPr>
                <w:rFonts w:ascii="Verdana" w:eastAsia="Verdana" w:hAnsi="Verdana" w:cs="Verdana"/>
                <w:b/>
                <w:color w:val="000000"/>
                <w:sz w:val="18"/>
                <w:szCs w:val="18"/>
              </w:rPr>
              <w:t>Ufficio Stampa – Relazioni Esterne</w:t>
            </w:r>
          </w:p>
          <w:p w14:paraId="6644609D" w14:textId="77777777" w:rsidR="00554FA9" w:rsidRDefault="00554FA9" w:rsidP="0002633F">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Francesca Sargenti</w:t>
            </w:r>
          </w:p>
          <w:p w14:paraId="683B6510" w14:textId="77777777" w:rsidR="00554FA9" w:rsidRDefault="00554FA9" w:rsidP="0002633F">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Tel. +39 0583 976.686 - cell. +39 338 7768286</w:t>
            </w:r>
          </w:p>
        </w:tc>
        <w:tc>
          <w:tcPr>
            <w:tcW w:w="3566" w:type="dxa"/>
          </w:tcPr>
          <w:p w14:paraId="49A10495" w14:textId="77777777" w:rsidR="00554FA9" w:rsidRDefault="00C4560E" w:rsidP="0002633F">
            <w:pPr>
              <w:pBdr>
                <w:top w:val="nil"/>
                <w:left w:val="nil"/>
                <w:bottom w:val="nil"/>
                <w:right w:val="nil"/>
                <w:between w:val="nil"/>
              </w:pBdr>
              <w:jc w:val="right"/>
              <w:rPr>
                <w:rFonts w:ascii="Verdana" w:eastAsia="Verdana" w:hAnsi="Verdana" w:cs="Verdana"/>
                <w:color w:val="000000"/>
              </w:rPr>
            </w:pPr>
            <w:hyperlink r:id="rId6">
              <w:r w:rsidR="00554FA9">
                <w:rPr>
                  <w:rFonts w:ascii="Verdana" w:eastAsia="Verdana" w:hAnsi="Verdana" w:cs="Verdana"/>
                  <w:noProof/>
                  <w:color w:val="000000"/>
                  <w:sz w:val="24"/>
                  <w:szCs w:val="24"/>
                </w:rPr>
                <w:drawing>
                  <wp:inline distT="0" distB="0" distL="114300" distR="114300" wp14:anchorId="5B9FD1E9" wp14:editId="1D44BCCD">
                    <wp:extent cx="219075" cy="21907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19075" cy="219075"/>
                            </a:xfrm>
                            <a:prstGeom prst="rect">
                              <a:avLst/>
                            </a:prstGeom>
                            <a:ln/>
                          </pic:spPr>
                        </pic:pic>
                      </a:graphicData>
                    </a:graphic>
                  </wp:inline>
                </w:drawing>
              </w:r>
            </w:hyperlink>
            <w:r w:rsidR="00554FA9">
              <w:rPr>
                <w:rFonts w:ascii="Verdana" w:eastAsia="Verdana" w:hAnsi="Verdana" w:cs="Verdana"/>
                <w:b/>
                <w:color w:val="000000"/>
                <w:sz w:val="24"/>
                <w:szCs w:val="24"/>
              </w:rPr>
              <w:t xml:space="preserve"> </w:t>
            </w:r>
            <w:hyperlink r:id="rId8">
              <w:r w:rsidR="00554FA9">
                <w:rPr>
                  <w:rFonts w:ascii="Verdana" w:eastAsia="Verdana" w:hAnsi="Verdana" w:cs="Verdana"/>
                  <w:noProof/>
                  <w:color w:val="000000"/>
                  <w:sz w:val="24"/>
                  <w:szCs w:val="24"/>
                </w:rPr>
                <w:drawing>
                  <wp:inline distT="0" distB="0" distL="114300" distR="114300" wp14:anchorId="710BC030" wp14:editId="6AD8E8B9">
                    <wp:extent cx="225425" cy="225425"/>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25425" cy="225425"/>
                            </a:xfrm>
                            <a:prstGeom prst="rect">
                              <a:avLst/>
                            </a:prstGeom>
                            <a:ln/>
                          </pic:spPr>
                        </pic:pic>
                      </a:graphicData>
                    </a:graphic>
                  </wp:inline>
                </w:drawing>
              </w:r>
            </w:hyperlink>
            <w:r w:rsidR="00554FA9">
              <w:rPr>
                <w:rFonts w:ascii="Verdana" w:eastAsia="Verdana" w:hAnsi="Verdana" w:cs="Verdana"/>
                <w:b/>
                <w:color w:val="000000"/>
                <w:sz w:val="24"/>
                <w:szCs w:val="24"/>
              </w:rPr>
              <w:t xml:space="preserve"> </w:t>
            </w:r>
            <w:hyperlink r:id="rId10">
              <w:r w:rsidR="00554FA9">
                <w:rPr>
                  <w:rFonts w:ascii="Verdana" w:eastAsia="Verdana" w:hAnsi="Verdana" w:cs="Verdana"/>
                  <w:noProof/>
                  <w:color w:val="000000"/>
                  <w:sz w:val="24"/>
                  <w:szCs w:val="24"/>
                </w:rPr>
                <w:drawing>
                  <wp:inline distT="0" distB="0" distL="114300" distR="114300" wp14:anchorId="1E64E1A4" wp14:editId="1F3121BA">
                    <wp:extent cx="229235" cy="228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29235" cy="228600"/>
                            </a:xfrm>
                            <a:prstGeom prst="rect">
                              <a:avLst/>
                            </a:prstGeom>
                            <a:ln/>
                          </pic:spPr>
                        </pic:pic>
                      </a:graphicData>
                    </a:graphic>
                  </wp:inline>
                </w:drawing>
              </w:r>
            </w:hyperlink>
            <w:hyperlink r:id="rId12">
              <w:r w:rsidR="00554FA9">
                <w:rPr>
                  <w:rFonts w:ascii="Verdana" w:eastAsia="Verdana" w:hAnsi="Verdana" w:cs="Verdana"/>
                  <w:noProof/>
                  <w:color w:val="000000"/>
                  <w:sz w:val="24"/>
                  <w:szCs w:val="24"/>
                </w:rPr>
                <w:drawing>
                  <wp:inline distT="0" distB="0" distL="114300" distR="114300" wp14:anchorId="3AE7AB8C" wp14:editId="64ACDE91">
                    <wp:extent cx="428625" cy="22923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28625" cy="229235"/>
                            </a:xfrm>
                            <a:prstGeom prst="rect">
                              <a:avLst/>
                            </a:prstGeom>
                            <a:ln/>
                          </pic:spPr>
                        </pic:pic>
                      </a:graphicData>
                    </a:graphic>
                  </wp:inline>
                </w:drawing>
              </w:r>
            </w:hyperlink>
          </w:p>
        </w:tc>
      </w:tr>
      <w:bookmarkEnd w:id="3"/>
    </w:tbl>
    <w:p w14:paraId="540CAEC3" w14:textId="77777777" w:rsidR="00A7021E" w:rsidRPr="00934570" w:rsidRDefault="00A7021E" w:rsidP="00554FA9">
      <w:pPr>
        <w:spacing w:after="0" w:line="240" w:lineRule="auto"/>
        <w:jc w:val="both"/>
      </w:pPr>
    </w:p>
    <w:sectPr w:rsidR="00A7021E" w:rsidRPr="00934570" w:rsidSect="00554FA9">
      <w:headerReference w:type="default" r:id="rId14"/>
      <w:pgSz w:w="11906" w:h="16838"/>
      <w:pgMar w:top="1560" w:right="1134" w:bottom="426"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BBD25" w14:textId="77777777" w:rsidR="00A87C02" w:rsidRDefault="00A87C02" w:rsidP="00CF0E5F">
      <w:pPr>
        <w:spacing w:after="0" w:line="240" w:lineRule="auto"/>
      </w:pPr>
      <w:r>
        <w:separator/>
      </w:r>
    </w:p>
  </w:endnote>
  <w:endnote w:type="continuationSeparator" w:id="0">
    <w:p w14:paraId="432243EF" w14:textId="77777777" w:rsidR="00A87C02" w:rsidRDefault="00A87C02" w:rsidP="00CF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B0075" w14:textId="77777777" w:rsidR="00A87C02" w:rsidRDefault="00A87C02" w:rsidP="00CF0E5F">
      <w:pPr>
        <w:spacing w:after="0" w:line="240" w:lineRule="auto"/>
      </w:pPr>
      <w:r>
        <w:separator/>
      </w:r>
    </w:p>
  </w:footnote>
  <w:footnote w:type="continuationSeparator" w:id="0">
    <w:p w14:paraId="479CB68A" w14:textId="77777777" w:rsidR="00A87C02" w:rsidRDefault="00A87C02" w:rsidP="00CF0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7FCC" w14:textId="0DAFE6F1" w:rsidR="00CF0E5F" w:rsidRDefault="00A7021E">
    <w:pPr>
      <w:pStyle w:val="Intestazione"/>
    </w:pPr>
    <w:r>
      <w:rPr>
        <w:rFonts w:ascii="Verdana" w:hAnsi="Verdana"/>
        <w:noProof/>
      </w:rPr>
      <w:drawing>
        <wp:anchor distT="0" distB="0" distL="114300" distR="114300" simplePos="0" relativeHeight="251661312" behindDoc="0" locked="0" layoutInCell="1" allowOverlap="1" wp14:anchorId="5146FAD9" wp14:editId="0ADDA8ED">
          <wp:simplePos x="0" y="0"/>
          <wp:positionH relativeFrom="margin">
            <wp:posOffset>5556885</wp:posOffset>
          </wp:positionH>
          <wp:positionV relativeFrom="paragraph">
            <wp:posOffset>-354330</wp:posOffset>
          </wp:positionV>
          <wp:extent cx="1028700" cy="1054735"/>
          <wp:effectExtent l="0" t="0" r="0" b="0"/>
          <wp:wrapSquare wrapText="bothSides"/>
          <wp:docPr id="28"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_desco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547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35B8A98" wp14:editId="2589B1D4">
          <wp:simplePos x="0" y="0"/>
          <wp:positionH relativeFrom="column">
            <wp:posOffset>-352425</wp:posOffset>
          </wp:positionH>
          <wp:positionV relativeFrom="paragraph">
            <wp:posOffset>-143510</wp:posOffset>
          </wp:positionV>
          <wp:extent cx="2162175" cy="586105"/>
          <wp:effectExtent l="0" t="0" r="9525" b="4445"/>
          <wp:wrapSquare wrapText="bothSides"/>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586105"/>
                  </a:xfrm>
                  <a:prstGeom prst="rect">
                    <a:avLst/>
                  </a:prstGeom>
                  <a:noFill/>
                </pic:spPr>
              </pic:pic>
            </a:graphicData>
          </a:graphic>
          <wp14:sizeRelH relativeFrom="margin">
            <wp14:pctWidth>0</wp14:pctWidth>
          </wp14:sizeRelH>
          <wp14:sizeRelV relativeFrom="margin">
            <wp14:pctHeight>0</wp14:pctHeight>
          </wp14:sizeRelV>
        </wp:anchor>
      </w:drawing>
    </w:r>
    <w:r w:rsidR="00CF0E5F">
      <w:ptab w:relativeTo="margin" w:alignment="center" w:leader="none"/>
    </w:r>
  </w:p>
  <w:p w14:paraId="5DA176F9" w14:textId="77777777" w:rsidR="00CF0E5F" w:rsidRDefault="00CF0E5F">
    <w:pPr>
      <w:pStyle w:val="Intestazione"/>
    </w:pPr>
  </w:p>
  <w:p w14:paraId="352866F7" w14:textId="77777777" w:rsidR="00CF0E5F" w:rsidRDefault="00CF0E5F">
    <w:pPr>
      <w:pStyle w:val="Intestazione"/>
    </w:pPr>
  </w:p>
  <w:p w14:paraId="0C565A40" w14:textId="77777777" w:rsidR="00CF0E5F" w:rsidRDefault="00CF0E5F">
    <w:pPr>
      <w:pStyle w:val="Intestazione"/>
    </w:pPr>
  </w:p>
  <w:p w14:paraId="4C0C190A" w14:textId="77777777" w:rsidR="00A7021E" w:rsidRDefault="00A7021E" w:rsidP="00A7021E">
    <w:pPr>
      <w:pStyle w:val="Intestazione"/>
      <w:jc w:val="right"/>
    </w:pPr>
  </w:p>
  <w:p w14:paraId="0421A5E6" w14:textId="700A091A" w:rsidR="00CF0E5F" w:rsidRDefault="00CF0E5F" w:rsidP="00A7021E">
    <w:pPr>
      <w:pStyle w:val="Intestazione"/>
      <w:jc w:val="right"/>
      <w:rPr>
        <w:rFonts w:ascii="Verdana" w:hAnsi="Verdana" w:cs="Verdana"/>
        <w:color w:val="808080"/>
        <w:spacing w:val="20"/>
        <w:sz w:val="36"/>
        <w:lang w:val="pt-PT"/>
      </w:rPr>
    </w:pPr>
    <w:r>
      <w:rPr>
        <w:rFonts w:ascii="Verdana" w:hAnsi="Verdana" w:cs="Verdana"/>
        <w:color w:val="808080"/>
        <w:spacing w:val="20"/>
        <w:sz w:val="36"/>
        <w:lang w:val="pt-PT"/>
      </w:rPr>
      <w:t xml:space="preserve">comunicato stampa </w:t>
    </w:r>
  </w:p>
  <w:p w14:paraId="5E081851" w14:textId="77777777" w:rsidR="00A7021E" w:rsidRDefault="00A7021E" w:rsidP="00A7021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70"/>
    <w:rsid w:val="00067448"/>
    <w:rsid w:val="0010296E"/>
    <w:rsid w:val="001F4D87"/>
    <w:rsid w:val="00226AF2"/>
    <w:rsid w:val="002E405A"/>
    <w:rsid w:val="00554FA9"/>
    <w:rsid w:val="00596948"/>
    <w:rsid w:val="006C3965"/>
    <w:rsid w:val="00932800"/>
    <w:rsid w:val="00934570"/>
    <w:rsid w:val="00A7021E"/>
    <w:rsid w:val="00A87C02"/>
    <w:rsid w:val="00AA6357"/>
    <w:rsid w:val="00BE79FE"/>
    <w:rsid w:val="00C4560E"/>
    <w:rsid w:val="00CF0E5F"/>
    <w:rsid w:val="00E77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5C93"/>
  <w15:chartTrackingRefBased/>
  <w15:docId w15:val="{A0A59A2D-2C5E-41FC-B85D-53CD312D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702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0E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0E5F"/>
  </w:style>
  <w:style w:type="paragraph" w:styleId="Pidipagina">
    <w:name w:val="footer"/>
    <w:basedOn w:val="Normale"/>
    <w:link w:val="PidipaginaCarattere"/>
    <w:uiPriority w:val="99"/>
    <w:unhideWhenUsed/>
    <w:rsid w:val="00CF0E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0E5F"/>
  </w:style>
  <w:style w:type="character" w:styleId="Collegamentoipertestuale">
    <w:name w:val="Hyperlink"/>
    <w:basedOn w:val="Carpredefinitoparagrafo"/>
    <w:uiPriority w:val="99"/>
    <w:unhideWhenUsed/>
    <w:rsid w:val="00A7021E"/>
    <w:rPr>
      <w:color w:val="0563C1" w:themeColor="hyperlink"/>
      <w:u w:val="single"/>
    </w:rPr>
  </w:style>
  <w:style w:type="character" w:styleId="Menzionenonrisolta">
    <w:name w:val="Unresolved Mention"/>
    <w:basedOn w:val="Carpredefinitoparagrafo"/>
    <w:uiPriority w:val="99"/>
    <w:semiHidden/>
    <w:unhideWhenUsed/>
    <w:rsid w:val="00A70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u.camcom.it"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s://www.youtube.com/user/CCIAALuc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u.camcom.it/"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CameraCommercioLucca"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488</Words>
  <Characters>2783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Relazione Esterne</dc:creator>
  <cp:keywords/>
  <dc:description/>
  <cp:lastModifiedBy>Ufficio Relazione Esterne</cp:lastModifiedBy>
  <cp:revision>10</cp:revision>
  <dcterms:created xsi:type="dcterms:W3CDTF">2019-10-15T08:22:00Z</dcterms:created>
  <dcterms:modified xsi:type="dcterms:W3CDTF">2019-10-23T12:34:00Z</dcterms:modified>
</cp:coreProperties>
</file>